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AA" w:rsidRPr="00D1282F" w:rsidRDefault="00D368AA" w:rsidP="00D368AA">
      <w:pPr>
        <w:spacing w:line="240" w:lineRule="auto"/>
        <w:jc w:val="both"/>
        <w:rPr>
          <w:rFonts w:ascii="Verdana" w:eastAsia="Arial" w:hAnsi="Verdana" w:cs="Arial"/>
          <w:b/>
          <w:sz w:val="24"/>
          <w:szCs w:val="24"/>
        </w:rPr>
      </w:pPr>
      <w:r w:rsidRPr="00D1282F">
        <w:rPr>
          <w:rFonts w:ascii="Verdana" w:eastAsia="Arial" w:hAnsi="Verdana" w:cs="Arial"/>
          <w:b/>
          <w:sz w:val="24"/>
          <w:szCs w:val="24"/>
        </w:rPr>
        <w:t xml:space="preserve">HONORABLE CONGRESO DEL ESTADO DE YUCATÁN. </w:t>
      </w:r>
    </w:p>
    <w:p w:rsidR="00D368AA" w:rsidRPr="00D1282F" w:rsidRDefault="00D368AA" w:rsidP="00D368AA">
      <w:pPr>
        <w:spacing w:line="240" w:lineRule="auto"/>
        <w:jc w:val="both"/>
        <w:rPr>
          <w:rFonts w:ascii="Verdana" w:eastAsia="Arial" w:hAnsi="Verdana" w:cs="Arial"/>
          <w:b/>
          <w:sz w:val="24"/>
          <w:szCs w:val="24"/>
        </w:rPr>
      </w:pPr>
      <w:r w:rsidRPr="00D1282F">
        <w:rPr>
          <w:rFonts w:ascii="Verdana" w:eastAsia="Arial" w:hAnsi="Verdana" w:cs="Arial"/>
          <w:b/>
          <w:sz w:val="24"/>
          <w:szCs w:val="24"/>
        </w:rPr>
        <w:t xml:space="preserve">P R E S E N T E. </w:t>
      </w:r>
    </w:p>
    <w:p w:rsidR="00D368AA" w:rsidRPr="00D1282F" w:rsidRDefault="00D368AA" w:rsidP="00D368AA">
      <w:pPr>
        <w:spacing w:line="240" w:lineRule="auto"/>
        <w:jc w:val="both"/>
        <w:rPr>
          <w:rFonts w:ascii="Verdana" w:eastAsia="Arial" w:hAnsi="Verdana" w:cs="Arial"/>
          <w:b/>
          <w:sz w:val="24"/>
          <w:szCs w:val="24"/>
        </w:rPr>
      </w:pPr>
    </w:p>
    <w:p w:rsidR="00D368AA" w:rsidRPr="00D1282F" w:rsidRDefault="00D368AA" w:rsidP="00893701">
      <w:pPr>
        <w:jc w:val="both"/>
        <w:rPr>
          <w:rFonts w:ascii="Verdana" w:eastAsia="Arial" w:hAnsi="Verdana" w:cs="Arial"/>
          <w:b/>
          <w:sz w:val="24"/>
          <w:szCs w:val="24"/>
        </w:rPr>
      </w:pPr>
      <w:r w:rsidRPr="00D1282F">
        <w:rPr>
          <w:rFonts w:ascii="Verdana" w:eastAsia="Arial" w:hAnsi="Verdana" w:cs="Arial"/>
          <w:sz w:val="24"/>
          <w:szCs w:val="24"/>
        </w:rPr>
        <w:t xml:space="preserve">El </w:t>
      </w:r>
      <w:r w:rsidR="003C1FEF">
        <w:rPr>
          <w:rFonts w:ascii="Verdana" w:eastAsia="Arial" w:hAnsi="Verdana" w:cs="Arial"/>
          <w:sz w:val="24"/>
          <w:szCs w:val="24"/>
        </w:rPr>
        <w:t>suscrito,</w:t>
      </w:r>
      <w:r w:rsidRPr="00D1282F">
        <w:rPr>
          <w:rFonts w:ascii="Verdana" w:eastAsia="Arial" w:hAnsi="Verdana" w:cs="Arial"/>
          <w:sz w:val="24"/>
          <w:szCs w:val="24"/>
        </w:rPr>
        <w:t xml:space="preserve"> Diputado </w:t>
      </w:r>
      <w:r w:rsidRPr="00D1282F">
        <w:rPr>
          <w:rFonts w:ascii="Verdana" w:eastAsia="Arial" w:hAnsi="Verdana" w:cs="Arial"/>
          <w:b/>
          <w:sz w:val="24"/>
          <w:szCs w:val="24"/>
        </w:rPr>
        <w:t>Felipe Cervera Hernández,</w:t>
      </w:r>
      <w:r w:rsidRPr="00D1282F">
        <w:rPr>
          <w:rFonts w:ascii="Verdana" w:eastAsia="Arial" w:hAnsi="Verdana" w:cs="Arial"/>
          <w:sz w:val="24"/>
          <w:szCs w:val="24"/>
        </w:rPr>
        <w:t xml:space="preserve"> integrante de </w:t>
      </w:r>
      <w:r w:rsidR="008A6E0B">
        <w:rPr>
          <w:rFonts w:ascii="Verdana" w:eastAsia="Arial" w:hAnsi="Verdana" w:cs="Arial"/>
          <w:sz w:val="24"/>
          <w:szCs w:val="24"/>
        </w:rPr>
        <w:t xml:space="preserve">la fracción legislativa del Partido Revolucionario Institucional de la </w:t>
      </w:r>
      <w:r w:rsidRPr="00D1282F">
        <w:rPr>
          <w:rFonts w:ascii="Verdana" w:eastAsia="Arial" w:hAnsi="Verdana" w:cs="Arial"/>
          <w:sz w:val="24"/>
          <w:szCs w:val="24"/>
        </w:rPr>
        <w:t>LXII Legislatura del H</w:t>
      </w:r>
      <w:r w:rsidR="00957511">
        <w:rPr>
          <w:rFonts w:ascii="Verdana" w:eastAsia="Arial" w:hAnsi="Verdana" w:cs="Arial"/>
          <w:sz w:val="24"/>
          <w:szCs w:val="24"/>
        </w:rPr>
        <w:t>onorable</w:t>
      </w:r>
      <w:r w:rsidRPr="00D1282F">
        <w:rPr>
          <w:rFonts w:ascii="Verdana" w:eastAsia="Arial" w:hAnsi="Verdana" w:cs="Arial"/>
          <w:sz w:val="24"/>
          <w:szCs w:val="24"/>
        </w:rPr>
        <w:t xml:space="preserve"> Congreso del Estado, con fundamento en la fracción I del artículo 35 de la Constitución Política; artículo 16 y fracción VI del artículo 22 de la Ley de Gobierno del Poder Legislativo, así como los artículos 68 y 69 del Reglamento de la Ley de Gobierno del Poder Legislativo, todos del Estado de Yucatán, somet</w:t>
      </w:r>
      <w:r w:rsidR="003C1FEF">
        <w:rPr>
          <w:rFonts w:ascii="Verdana" w:eastAsia="Arial" w:hAnsi="Verdana" w:cs="Arial"/>
          <w:sz w:val="24"/>
          <w:szCs w:val="24"/>
        </w:rPr>
        <w:t>o</w:t>
      </w:r>
      <w:r w:rsidRPr="00D1282F">
        <w:rPr>
          <w:rFonts w:ascii="Verdana" w:eastAsia="Arial" w:hAnsi="Verdana" w:cs="Arial"/>
          <w:sz w:val="24"/>
          <w:szCs w:val="24"/>
        </w:rPr>
        <w:t xml:space="preserve"> a consideración de esta Honorable Asamblea la presente </w:t>
      </w:r>
      <w:r w:rsidRPr="00D1282F">
        <w:rPr>
          <w:rFonts w:ascii="Verdana" w:eastAsia="Arial" w:hAnsi="Verdana" w:cs="Arial"/>
          <w:b/>
          <w:sz w:val="24"/>
          <w:szCs w:val="24"/>
        </w:rPr>
        <w:t xml:space="preserve">iniciativa con proyecto de decreto por el </w:t>
      </w:r>
      <w:r w:rsidR="001A323F" w:rsidRPr="00D1282F">
        <w:rPr>
          <w:rFonts w:ascii="Verdana" w:eastAsia="Arial" w:hAnsi="Verdana" w:cs="Arial"/>
          <w:b/>
          <w:sz w:val="24"/>
          <w:szCs w:val="24"/>
        </w:rPr>
        <w:t>que se reforma la Ley General de Hacienda del Estado de Yucatán</w:t>
      </w:r>
      <w:r w:rsidR="008A6E0B">
        <w:rPr>
          <w:rFonts w:ascii="Verdana" w:eastAsia="Arial" w:hAnsi="Verdana" w:cs="Arial"/>
          <w:b/>
          <w:sz w:val="24"/>
          <w:szCs w:val="24"/>
        </w:rPr>
        <w:t xml:space="preserve"> </w:t>
      </w:r>
      <w:r w:rsidR="008A6E0B" w:rsidRPr="008A6E0B">
        <w:rPr>
          <w:rFonts w:ascii="Verdana" w:eastAsia="Arial" w:hAnsi="Verdana" w:cs="Arial"/>
          <w:b/>
          <w:sz w:val="24"/>
          <w:szCs w:val="24"/>
        </w:rPr>
        <w:t>en materia de servicios que presta el Poder Legislativo del Estado de Yucatán</w:t>
      </w:r>
      <w:r w:rsidR="001A323F" w:rsidRPr="00D1282F">
        <w:rPr>
          <w:rFonts w:ascii="Verdana" w:eastAsia="Arial" w:hAnsi="Verdana" w:cs="Arial"/>
          <w:b/>
          <w:sz w:val="24"/>
          <w:szCs w:val="24"/>
        </w:rPr>
        <w:t xml:space="preserve">, </w:t>
      </w:r>
      <w:r w:rsidRPr="00D1282F">
        <w:rPr>
          <w:rFonts w:ascii="Verdana" w:eastAsia="Arial" w:hAnsi="Verdana" w:cs="Arial"/>
          <w:b/>
          <w:sz w:val="24"/>
          <w:szCs w:val="24"/>
        </w:rPr>
        <w:t xml:space="preserve">con base </w:t>
      </w:r>
      <w:r w:rsidR="003C1FEF">
        <w:rPr>
          <w:rFonts w:ascii="Verdana" w:eastAsia="Arial" w:hAnsi="Verdana" w:cs="Arial"/>
          <w:b/>
          <w:sz w:val="24"/>
          <w:szCs w:val="24"/>
        </w:rPr>
        <w:t>a</w:t>
      </w:r>
      <w:r w:rsidRPr="00D1282F">
        <w:rPr>
          <w:rFonts w:ascii="Verdana" w:eastAsia="Arial" w:hAnsi="Verdana" w:cs="Arial"/>
          <w:b/>
          <w:sz w:val="24"/>
          <w:szCs w:val="24"/>
        </w:rPr>
        <w:t xml:space="preserve"> la siguiente</w:t>
      </w:r>
      <w:r w:rsidR="003C1FEF">
        <w:rPr>
          <w:rFonts w:ascii="Verdana" w:eastAsia="Arial" w:hAnsi="Verdana" w:cs="Arial"/>
          <w:b/>
          <w:sz w:val="24"/>
          <w:szCs w:val="24"/>
        </w:rPr>
        <w:t>:</w:t>
      </w:r>
    </w:p>
    <w:p w:rsidR="00D368AA" w:rsidRPr="00D1282F" w:rsidRDefault="00D368AA" w:rsidP="00893701">
      <w:pPr>
        <w:widowControl w:val="0"/>
        <w:jc w:val="both"/>
        <w:rPr>
          <w:rFonts w:ascii="Verdana" w:eastAsia="Arial" w:hAnsi="Verdana" w:cs="Arial"/>
          <w:sz w:val="24"/>
          <w:szCs w:val="24"/>
        </w:rPr>
      </w:pPr>
    </w:p>
    <w:p w:rsidR="00D368AA" w:rsidRPr="00D1282F" w:rsidRDefault="00D368AA" w:rsidP="00D368AA">
      <w:pPr>
        <w:tabs>
          <w:tab w:val="left" w:pos="5175"/>
        </w:tabs>
        <w:jc w:val="center"/>
        <w:rPr>
          <w:rFonts w:ascii="Verdana" w:eastAsia="Arial" w:hAnsi="Verdana" w:cs="Arial"/>
          <w:b/>
          <w:sz w:val="24"/>
          <w:szCs w:val="24"/>
        </w:rPr>
      </w:pPr>
      <w:r w:rsidRPr="00D1282F">
        <w:rPr>
          <w:rFonts w:ascii="Verdana" w:eastAsia="Arial" w:hAnsi="Verdana" w:cs="Arial"/>
          <w:b/>
          <w:sz w:val="24"/>
          <w:szCs w:val="24"/>
        </w:rPr>
        <w:t>EXPOSICIÓN DE MOTIVOS.</w:t>
      </w:r>
    </w:p>
    <w:p w:rsidR="00AE4BA6" w:rsidRPr="00D1282F" w:rsidRDefault="00893701" w:rsidP="00AE4BA6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</w:t>
      </w:r>
      <w:r w:rsidR="00AE4BA6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Uno de los cimientos esenciales del Estado de Derecho es la división del poder estatal. Los poderes legislativo, ejecutivo y judicial, tradicionalmente los tres poderes, deben encontrarse separados o divididos y cada uno con sus respectivas facultades constitucionales.</w:t>
      </w:r>
    </w:p>
    <w:p w:rsidR="00D90E7B" w:rsidRPr="00D1282F" w:rsidRDefault="00D90E7B" w:rsidP="00AE4BA6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055D1" w:rsidRDefault="0089370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</w:t>
      </w:r>
      <w:r w:rsidR="00D90E7B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No obstante, las facultades antes mencionadas, en cada uno de los Poderes Públicos </w:t>
      </w:r>
      <w:r w:rsidR="006D39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operan</w:t>
      </w:r>
      <w:r w:rsidR="00D90E7B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una estructura administrativa interna, que cuenta </w:t>
      </w:r>
      <w:r w:rsidR="00D90E7B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 xml:space="preserve">con un patrimonio y funciones delimitadas por las normas jurídicas.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En este tenor, </w:t>
      </w:r>
      <w:r w:rsidR="000B63DD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es en la organización</w:t>
      </w:r>
      <w:r w:rsidR="00D90E7B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administrativa interna </w:t>
      </w:r>
      <w:r w:rsidR="000B63DD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que se encuentra inmiscuida el destino del patrimonio conformado por los bienes públicos y privados de cada Poder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así como el cumplimiento de sus funciones 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>referentes a la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prestación de servicios públicos por 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mandato de 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>ley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B055D1" w:rsidRDefault="00B055D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055D1" w:rsidRDefault="00B055D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Como sabemos, d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erivado del uso cotidiano de los bienes en referencia, se produce su deterioro natural por el paso de tiempo, que genera su des</w:t>
      </w:r>
      <w:r w:rsidR="001E3B05">
        <w:rPr>
          <w:rFonts w:ascii="Verdana" w:hAnsi="Verdana"/>
          <w:color w:val="000000"/>
          <w:sz w:val="24"/>
          <w:szCs w:val="24"/>
          <w:shd w:val="clear" w:color="auto" w:fill="FFFFFF"/>
        </w:rPr>
        <w:t>e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chamiento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al momento que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ya no sean </w:t>
      </w:r>
      <w:r w:rsidR="00D1282F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óptimamente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funcionales para los fines que 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los Poderes Públicos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31010F">
        <w:rPr>
          <w:rFonts w:ascii="Verdana" w:hAnsi="Verdana"/>
          <w:color w:val="000000"/>
          <w:sz w:val="24"/>
          <w:szCs w:val="24"/>
          <w:shd w:val="clear" w:color="auto" w:fill="FFFFFF"/>
        </w:rPr>
        <w:t>requiera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n; sin embargo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dichos bienes desechados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pueden ser</w:t>
      </w:r>
      <w:r w:rsidR="00D1282F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cuantificables monetariamente hablando y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útiles a otras instituciones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o personas</w:t>
      </w:r>
      <w:r w:rsidR="0031010F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incluido el tema del reciclaje. </w:t>
      </w:r>
    </w:p>
    <w:p w:rsidR="00B055D1" w:rsidRDefault="00B055D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C6FB2" w:rsidRPr="00BD02E2" w:rsidRDefault="00B055D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u w:val="words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Es de recordar, que para el destino de los bienes en comento, se </w:t>
      </w:r>
      <w:r w:rsidR="00A6131D">
        <w:rPr>
          <w:rFonts w:ascii="Verdana" w:hAnsi="Verdana"/>
          <w:color w:val="000000"/>
          <w:sz w:val="24"/>
          <w:szCs w:val="24"/>
          <w:shd w:val="clear" w:color="auto" w:fill="FFFFFF"/>
        </w:rPr>
        <w:t>ha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establecido un procedimiento en la Ley de Bienes del Estado de Yucatán a efecto de su incorporación, desincorporación, enajenación, entre otros; sin  embargo, paralelamente al procedimiento en referencia se debe facultar a los Poderes Públicos,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para que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puedan percibir ingresos</w:t>
      </w:r>
      <w:r w:rsidR="00A6131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por estos conceptos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, ya sea por enajenación de bienes o por prestación de servicios</w:t>
      </w:r>
      <w:r w:rsidR="00D1282F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por disposición de ley</w:t>
      </w:r>
      <w:r w:rsidR="00A6131D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estableciendo esta faculta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d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en la legislación 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correspondiente, que en este caso, es la ley </w:t>
      </w:r>
      <w:r w:rsidR="001A0B54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de hacienda 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de nuestro estado.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En este contexto,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en nuestro Estado,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el Poder Ejecutivo y el </w:t>
      </w:r>
      <w:r w:rsidR="00BD02E2" w:rsidRPr="00BD02E2">
        <w:rPr>
          <w:rFonts w:ascii="Verdana" w:hAnsi="Verdana"/>
          <w:color w:val="000000"/>
          <w:sz w:val="24"/>
          <w:szCs w:val="24"/>
          <w:shd w:val="clear" w:color="auto" w:fill="FFFFFF"/>
        </w:rPr>
        <w:t>Poder Judicial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se encuentran regulados al respecto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, lo cual no ocurre en el caso del Poder Legislativo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893701" w:rsidRPr="00D1282F" w:rsidRDefault="00893701" w:rsidP="001A0B54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C6FB2" w:rsidRPr="00D1282F" w:rsidRDefault="00D1282F" w:rsidP="00893701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En este orden de ideas y a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nte la ausencia de la regulación respectiva que faculte a </w:t>
      </w: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este Poder Legislativo del Estado a 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percibir </w:t>
      </w:r>
      <w:r w:rsidR="00BD02E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ingresos derivados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de las situaciones antes planteadas</w:t>
      </w: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se pretende 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>adici</w:t>
      </w:r>
      <w:r w:rsidR="0031010F">
        <w:rPr>
          <w:rFonts w:ascii="Verdana" w:hAnsi="Verdana"/>
          <w:color w:val="000000"/>
          <w:sz w:val="24"/>
          <w:szCs w:val="24"/>
          <w:shd w:val="clear" w:color="auto" w:fill="FFFFFF"/>
        </w:rPr>
        <w:t>onar</w:t>
      </w: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esta facultad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con fines de armonización legislativa en el tema</w:t>
      </w:r>
      <w:r w:rsidR="00BD02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otorgando a su vez, </w:t>
      </w: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certeza jurídica a estas fuentes de ingresos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DC6FB2" w:rsidRPr="00D1282F" w:rsidRDefault="00DC6FB2" w:rsidP="00AE4BA6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36045" w:rsidRDefault="00D1282F" w:rsidP="00636045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Es por lo que antecede</w:t>
      </w:r>
      <w:r w:rsidR="00565EBF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que se 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presenta la siguiente iniciativa de reforma a la </w:t>
      </w:r>
      <w:r w:rsidR="00B055D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Ley General de Hacienda del Estado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de Yucatán, con la finalidad de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facultar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al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Poder Legislativo del Estado,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percibir </w:t>
      </w:r>
      <w:r w:rsidR="00314383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ingresos como</w:t>
      </w:r>
      <w:r w:rsidR="00893701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consecuencia de las 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enajenaciones de bienes en desuso así </w:t>
      </w:r>
      <w:r w:rsidR="00B055D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como </w:t>
      </w:r>
      <w:r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>los</w:t>
      </w:r>
      <w:r w:rsidR="00DC6FB2" w:rsidRPr="00D1282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provenientes de servicios prestados por disposición normativa.</w:t>
      </w:r>
    </w:p>
    <w:p w:rsidR="00636045" w:rsidRDefault="00636045" w:rsidP="00636045">
      <w:pPr>
        <w:tabs>
          <w:tab w:val="left" w:pos="5175"/>
        </w:tabs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36045" w:rsidRDefault="00636045" w:rsidP="007D03F0">
      <w:pPr>
        <w:tabs>
          <w:tab w:val="left" w:pos="5175"/>
        </w:tabs>
        <w:ind w:firstLine="426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Bajo tal contexto, la iniciativa propone que el Poder Legislativo pueda allegarse de recursos por la expedición de fojas de copias simples o certificadas que expida a través de sus áreas, coordinaciones, departamentos, instituto y direcciones. Lo anterior cobra relevancia, dado el alto número de solicitudes que se presentan al área de transparencia de este poder público, mismas que continuamente expide copias certificadas de las constancias e información</w:t>
      </w:r>
      <w:r w:rsidR="00FD424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que se proporciona. No menos importante </w:t>
      </w:r>
      <w:r w:rsidR="00FD4246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 xml:space="preserve">es que se consideran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también </w:t>
      </w:r>
      <w:r w:rsidR="00FD424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los ingresos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por procedimientos de licitación que el Poder Legislativo realice. </w:t>
      </w:r>
    </w:p>
    <w:p w:rsidR="00636045" w:rsidRDefault="00636045" w:rsidP="00636045">
      <w:pPr>
        <w:tabs>
          <w:tab w:val="left" w:pos="5175"/>
        </w:tabs>
        <w:ind w:firstLine="426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36045" w:rsidRDefault="00636045" w:rsidP="00636045">
      <w:pPr>
        <w:tabs>
          <w:tab w:val="left" w:pos="5175"/>
        </w:tabs>
        <w:ind w:firstLine="426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Asimismo, se contempla que el propio Instituto de Investigaciones Legislativas de esta soberanía pueda percibir ingresos por la realización de trabajos de investigación. </w:t>
      </w:r>
    </w:p>
    <w:p w:rsidR="00AE4BA6" w:rsidRPr="00D1282F" w:rsidRDefault="00AE4BA6" w:rsidP="00AE4BA6">
      <w:pPr>
        <w:tabs>
          <w:tab w:val="left" w:pos="5175"/>
        </w:tabs>
        <w:jc w:val="both"/>
        <w:rPr>
          <w:rFonts w:ascii="Verdana" w:eastAsia="Arial" w:hAnsi="Verdana" w:cs="Arial"/>
          <w:b/>
          <w:sz w:val="24"/>
          <w:szCs w:val="24"/>
        </w:rPr>
      </w:pPr>
    </w:p>
    <w:p w:rsidR="00D368AA" w:rsidRPr="00D1282F" w:rsidRDefault="00D368AA" w:rsidP="007D03F0">
      <w:pPr>
        <w:ind w:firstLine="426"/>
        <w:jc w:val="both"/>
        <w:rPr>
          <w:rFonts w:ascii="Verdana" w:eastAsia="Arial" w:hAnsi="Verdana" w:cs="Arial"/>
          <w:sz w:val="24"/>
          <w:szCs w:val="24"/>
        </w:rPr>
      </w:pPr>
      <w:r w:rsidRPr="00D1282F">
        <w:rPr>
          <w:rFonts w:ascii="Verdana" w:eastAsia="Arial" w:hAnsi="Verdana" w:cs="Arial"/>
          <w:sz w:val="24"/>
          <w:szCs w:val="24"/>
        </w:rPr>
        <w:t>En virtud de lo anterior y en ejercicio de la facultad que me confiere el artículo 35, fracción I de la Constitución Política del Estado de Yucatán, someto a la consideración de esta Soberanía, la siguiente iniciativa con proyecto de:</w:t>
      </w:r>
    </w:p>
    <w:p w:rsidR="00D368AA" w:rsidRDefault="00D368AA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6E0B" w:rsidRDefault="008A6E0B" w:rsidP="00D128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68AA" w:rsidRPr="002E470A" w:rsidRDefault="00D368AA" w:rsidP="00D368AA">
      <w:pPr>
        <w:spacing w:line="240" w:lineRule="auto"/>
        <w:jc w:val="center"/>
        <w:rPr>
          <w:rFonts w:ascii="Arial" w:eastAsia="Arial" w:hAnsi="Arial" w:cs="Arial"/>
          <w:b/>
        </w:rPr>
      </w:pPr>
      <w:r w:rsidRPr="002E470A">
        <w:rPr>
          <w:rFonts w:ascii="Arial" w:eastAsia="Arial" w:hAnsi="Arial" w:cs="Arial"/>
          <w:b/>
        </w:rPr>
        <w:t>D E C R E T O:</w:t>
      </w:r>
    </w:p>
    <w:p w:rsidR="00D368AA" w:rsidRPr="002E470A" w:rsidRDefault="00D368AA" w:rsidP="00D368AA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8A4650" w:rsidRPr="00636045" w:rsidRDefault="008A4650" w:rsidP="008A4650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636045">
        <w:rPr>
          <w:rFonts w:ascii="Arial" w:hAnsi="Arial" w:cs="Arial"/>
          <w:b/>
          <w:sz w:val="26"/>
          <w:szCs w:val="26"/>
        </w:rPr>
        <w:t xml:space="preserve">Iniciativa con proyecto de decreto </w:t>
      </w:r>
      <w:r w:rsidRPr="00636045">
        <w:rPr>
          <w:rFonts w:ascii="Arial" w:hAnsi="Arial" w:cs="Arial"/>
          <w:b/>
          <w:sz w:val="25"/>
          <w:szCs w:val="25"/>
        </w:rPr>
        <w:t xml:space="preserve">por el que </w:t>
      </w:r>
      <w:r w:rsidRPr="00636045">
        <w:rPr>
          <w:rFonts w:ascii="Arial" w:hAnsi="Arial" w:cs="Arial"/>
          <w:b/>
          <w:sz w:val="26"/>
          <w:szCs w:val="26"/>
        </w:rPr>
        <w:t>se reforma la Ley General de Hacienda del Estado de Yucatán</w:t>
      </w:r>
      <w:r w:rsidR="00314383" w:rsidRPr="00636045">
        <w:rPr>
          <w:rFonts w:ascii="Arial" w:hAnsi="Arial" w:cs="Arial"/>
          <w:b/>
          <w:sz w:val="26"/>
          <w:szCs w:val="26"/>
        </w:rPr>
        <w:t xml:space="preserve"> en materia de servicios que presta el Poder Legislativo del Estado de Yucatán</w:t>
      </w:r>
      <w:r w:rsidRPr="00636045">
        <w:rPr>
          <w:rFonts w:ascii="Arial" w:hAnsi="Arial" w:cs="Arial"/>
          <w:b/>
          <w:sz w:val="26"/>
          <w:szCs w:val="26"/>
        </w:rPr>
        <w:t>.</w:t>
      </w:r>
    </w:p>
    <w:p w:rsidR="00B141F1" w:rsidRDefault="00D368AA" w:rsidP="00B141F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E470A">
        <w:rPr>
          <w:rFonts w:ascii="Arial" w:eastAsia="Arial" w:hAnsi="Arial" w:cs="Arial"/>
          <w:b/>
          <w:sz w:val="24"/>
          <w:szCs w:val="24"/>
        </w:rPr>
        <w:t xml:space="preserve">ARTÍCULO </w:t>
      </w:r>
      <w:r w:rsidR="00957511">
        <w:rPr>
          <w:rFonts w:ascii="Arial" w:eastAsia="Arial" w:hAnsi="Arial" w:cs="Arial"/>
          <w:b/>
          <w:sz w:val="24"/>
          <w:szCs w:val="24"/>
        </w:rPr>
        <w:t>UNICO</w:t>
      </w:r>
      <w:r w:rsidRPr="002E470A">
        <w:rPr>
          <w:rFonts w:ascii="Arial" w:eastAsia="Arial" w:hAnsi="Arial" w:cs="Arial"/>
          <w:b/>
          <w:sz w:val="24"/>
          <w:szCs w:val="24"/>
        </w:rPr>
        <w:t xml:space="preserve">. </w:t>
      </w:r>
      <w:r w:rsidR="00B141F1">
        <w:rPr>
          <w:rFonts w:ascii="Arial" w:eastAsia="Arial" w:hAnsi="Arial" w:cs="Arial"/>
          <w:b/>
          <w:sz w:val="24"/>
          <w:szCs w:val="24"/>
        </w:rPr>
        <w:t>–</w:t>
      </w:r>
      <w:r w:rsidRPr="002E470A">
        <w:rPr>
          <w:rFonts w:ascii="Arial" w:eastAsia="Arial" w:hAnsi="Arial" w:cs="Arial"/>
          <w:b/>
          <w:sz w:val="24"/>
          <w:szCs w:val="24"/>
        </w:rPr>
        <w:t xml:space="preserve"> </w:t>
      </w:r>
      <w:r w:rsidR="008A4650">
        <w:rPr>
          <w:rFonts w:ascii="Arial" w:eastAsia="Arial" w:hAnsi="Arial" w:cs="Arial"/>
          <w:b/>
          <w:sz w:val="24"/>
          <w:szCs w:val="24"/>
        </w:rPr>
        <w:t xml:space="preserve">Se adiciona al Título Tercero denominado “De los Derechos” el Capítulo XXVIII “Derechos por servicios que presta el Poder Legislativo” que contiene el artículo 85-AC, </w:t>
      </w:r>
      <w:r w:rsidR="001D7617">
        <w:rPr>
          <w:rFonts w:ascii="Arial" w:eastAsia="Arial" w:hAnsi="Arial" w:cs="Arial"/>
          <w:b/>
          <w:sz w:val="24"/>
          <w:szCs w:val="24"/>
        </w:rPr>
        <w:t>y se reforma el artículo 86, para quedar como sigue:</w:t>
      </w:r>
    </w:p>
    <w:p w:rsidR="001D7617" w:rsidRDefault="001D7617" w:rsidP="00B141F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70623" w:rsidRDefault="00C70623" w:rsidP="00C7062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TERCERO</w:t>
      </w:r>
    </w:p>
    <w:p w:rsidR="001D7617" w:rsidRDefault="001D7617" w:rsidP="001D761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XXVIII</w:t>
      </w:r>
    </w:p>
    <w:p w:rsidR="001D7617" w:rsidRDefault="001D7617" w:rsidP="001D761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Derechos por servicios que presta el Poder Legislativo del Estado</w:t>
      </w:r>
      <w:r w:rsidR="001E3B05">
        <w:rPr>
          <w:rFonts w:ascii="Arial" w:eastAsia="Arial" w:hAnsi="Arial" w:cs="Arial"/>
          <w:b/>
          <w:sz w:val="24"/>
          <w:szCs w:val="24"/>
        </w:rPr>
        <w:t xml:space="preserve"> de Yucatán.</w:t>
      </w:r>
    </w:p>
    <w:p w:rsidR="001D7617" w:rsidRDefault="001D7617" w:rsidP="00B141F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7617" w:rsidRDefault="001D7617" w:rsidP="00B141F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85-AC.- Por los servicios que presta el Poder Legislativo del Estado</w:t>
      </w:r>
      <w:r w:rsidR="001E3B05">
        <w:rPr>
          <w:rFonts w:ascii="Arial" w:eastAsia="Arial" w:hAnsi="Arial" w:cs="Arial"/>
          <w:b/>
          <w:sz w:val="24"/>
          <w:szCs w:val="24"/>
        </w:rPr>
        <w:t xml:space="preserve"> de Yucatán</w:t>
      </w:r>
      <w:r>
        <w:rPr>
          <w:rFonts w:ascii="Arial" w:eastAsia="Arial" w:hAnsi="Arial" w:cs="Arial"/>
          <w:b/>
          <w:sz w:val="24"/>
          <w:szCs w:val="24"/>
        </w:rPr>
        <w:t>, se causará derechos conforme a lo siguiente:</w:t>
      </w:r>
    </w:p>
    <w:p w:rsidR="001D7617" w:rsidRDefault="001D7617" w:rsidP="00B141F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66D8F" w:rsidRDefault="00ED141D" w:rsidP="00566D8F">
      <w:pPr>
        <w:pStyle w:val="Prrafodelista"/>
        <w:numPr>
          <w:ilvl w:val="0"/>
          <w:numId w:val="5"/>
        </w:numPr>
        <w:spacing w:line="240" w:lineRule="auto"/>
        <w:ind w:right="415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e</w:t>
      </w:r>
      <w:r w:rsidR="001D7617">
        <w:rPr>
          <w:rFonts w:ascii="Arial" w:eastAsia="Arial" w:hAnsi="Arial" w:cs="Arial"/>
          <w:b/>
          <w:sz w:val="24"/>
          <w:szCs w:val="24"/>
        </w:rPr>
        <w:t>xpedición</w:t>
      </w:r>
      <w:r>
        <w:rPr>
          <w:rFonts w:ascii="Arial" w:eastAsia="Arial" w:hAnsi="Arial" w:cs="Arial"/>
          <w:b/>
          <w:sz w:val="24"/>
          <w:szCs w:val="24"/>
        </w:rPr>
        <w:t xml:space="preserve"> de documentación</w:t>
      </w:r>
      <w:r w:rsidR="00B91604" w:rsidRPr="00B91604">
        <w:rPr>
          <w:rFonts w:ascii="Arial" w:eastAsia="Arial" w:hAnsi="Arial" w:cs="Arial"/>
          <w:b/>
          <w:sz w:val="24"/>
          <w:szCs w:val="24"/>
        </w:rPr>
        <w:t xml:space="preserve"> </w:t>
      </w:r>
      <w:r w:rsidR="00B91604">
        <w:rPr>
          <w:rFonts w:ascii="Arial" w:eastAsia="Arial" w:hAnsi="Arial" w:cs="Arial"/>
          <w:b/>
          <w:sz w:val="24"/>
          <w:szCs w:val="24"/>
        </w:rPr>
        <w:t xml:space="preserve">de la secretaría general, dirección, departamento, coordinación, instituto, biblioteca o área del </w:t>
      </w:r>
      <w:r w:rsidR="00636045">
        <w:rPr>
          <w:rFonts w:ascii="Arial" w:eastAsia="Arial" w:hAnsi="Arial" w:cs="Arial"/>
          <w:b/>
          <w:sz w:val="24"/>
          <w:szCs w:val="24"/>
        </w:rPr>
        <w:t>Poder Legislativo del Estado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B91604"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D7617">
        <w:rPr>
          <w:rFonts w:ascii="Arial" w:eastAsia="Arial" w:hAnsi="Arial" w:cs="Arial"/>
          <w:b/>
          <w:sz w:val="24"/>
          <w:szCs w:val="24"/>
        </w:rPr>
        <w:t>copia simple</w:t>
      </w:r>
      <w:r w:rsidR="00B91604">
        <w:rPr>
          <w:rFonts w:ascii="Arial" w:eastAsia="Arial" w:hAnsi="Arial" w:cs="Arial"/>
          <w:b/>
          <w:sz w:val="24"/>
          <w:szCs w:val="24"/>
        </w:rPr>
        <w:t>, por foja</w:t>
      </w:r>
      <w:r w:rsidR="00566D8F">
        <w:rPr>
          <w:rFonts w:ascii="Arial" w:eastAsia="Arial" w:hAnsi="Arial" w:cs="Arial"/>
          <w:b/>
          <w:sz w:val="24"/>
          <w:szCs w:val="24"/>
        </w:rPr>
        <w:t xml:space="preserve">.                                </w:t>
      </w:r>
      <w:r w:rsidR="001E3B05">
        <w:rPr>
          <w:rFonts w:ascii="Arial" w:eastAsia="Arial" w:hAnsi="Arial" w:cs="Arial"/>
          <w:b/>
          <w:sz w:val="24"/>
          <w:szCs w:val="24"/>
        </w:rPr>
        <w:t xml:space="preserve">                              </w:t>
      </w:r>
      <w:r w:rsidR="00566D8F">
        <w:rPr>
          <w:rFonts w:ascii="Arial" w:eastAsia="Arial" w:hAnsi="Arial" w:cs="Arial"/>
          <w:b/>
          <w:sz w:val="24"/>
          <w:szCs w:val="24"/>
        </w:rPr>
        <w:t xml:space="preserve">       </w:t>
      </w:r>
    </w:p>
    <w:p w:rsidR="001D7617" w:rsidRDefault="00566D8F" w:rsidP="00566D8F">
      <w:pPr>
        <w:pStyle w:val="Prrafodelista"/>
        <w:spacing w:line="240" w:lineRule="auto"/>
        <w:ind w:left="10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0.</w:t>
      </w:r>
      <w:r w:rsidR="00B91604">
        <w:rPr>
          <w:rFonts w:ascii="Arial" w:eastAsia="Arial" w:hAnsi="Arial" w:cs="Arial"/>
          <w:b/>
          <w:sz w:val="24"/>
          <w:szCs w:val="24"/>
        </w:rPr>
        <w:t>05</w:t>
      </w:r>
      <w:r>
        <w:rPr>
          <w:rFonts w:ascii="Arial" w:eastAsia="Arial" w:hAnsi="Arial" w:cs="Arial"/>
          <w:b/>
          <w:sz w:val="24"/>
          <w:szCs w:val="24"/>
        </w:rPr>
        <w:t xml:space="preserve"> UMA</w:t>
      </w:r>
    </w:p>
    <w:p w:rsidR="00566D8F" w:rsidRDefault="00566D8F" w:rsidP="00566D8F">
      <w:pPr>
        <w:pStyle w:val="Prrafodelista"/>
        <w:spacing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:rsidR="001E3B05" w:rsidRDefault="001E3B05" w:rsidP="00566D8F">
      <w:pPr>
        <w:pStyle w:val="Prrafodelista"/>
        <w:spacing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:rsidR="00ED141D" w:rsidRDefault="00ED141D" w:rsidP="00566D8F">
      <w:pPr>
        <w:pStyle w:val="Prrafodelista"/>
        <w:spacing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:rsidR="00ED141D" w:rsidRDefault="00B91604" w:rsidP="00ED141D">
      <w:pPr>
        <w:pStyle w:val="Prrafodelista"/>
        <w:numPr>
          <w:ilvl w:val="0"/>
          <w:numId w:val="5"/>
        </w:numPr>
        <w:spacing w:line="240" w:lineRule="auto"/>
        <w:ind w:right="415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expedición de documentación</w:t>
      </w:r>
      <w:r w:rsidRPr="00B9160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la secretaría general, dirección, departamento, coordinación, </w:t>
      </w: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instituto, biblioteca o área del </w:t>
      </w:r>
      <w:r w:rsidR="00636045">
        <w:rPr>
          <w:rFonts w:ascii="Arial" w:eastAsia="Arial" w:hAnsi="Arial" w:cs="Arial"/>
          <w:b/>
          <w:sz w:val="24"/>
          <w:szCs w:val="24"/>
        </w:rPr>
        <w:t>Poder Legislativo del Estado</w:t>
      </w:r>
      <w:r>
        <w:rPr>
          <w:rFonts w:ascii="Arial" w:eastAsia="Arial" w:hAnsi="Arial" w:cs="Arial"/>
          <w:b/>
          <w:sz w:val="24"/>
          <w:szCs w:val="24"/>
        </w:rPr>
        <w:t>, en copia certificada, por foja.</w:t>
      </w:r>
      <w:r w:rsidR="00ED141D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</w:t>
      </w:r>
    </w:p>
    <w:p w:rsidR="00ED141D" w:rsidRDefault="00ED141D" w:rsidP="00ED141D">
      <w:pPr>
        <w:pStyle w:val="Prrafodelista"/>
        <w:spacing w:line="240" w:lineRule="auto"/>
        <w:ind w:left="10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0.10 UMA</w:t>
      </w:r>
    </w:p>
    <w:p w:rsidR="00ED141D" w:rsidRDefault="00ED141D" w:rsidP="00566D8F">
      <w:pPr>
        <w:pStyle w:val="Prrafodelista"/>
        <w:spacing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:rsidR="00ED141D" w:rsidRDefault="00ED141D" w:rsidP="00566D8F">
      <w:pPr>
        <w:pStyle w:val="Prrafodelista"/>
        <w:spacing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:rsidR="001D7617" w:rsidRDefault="001D7617" w:rsidP="00566D8F">
      <w:pPr>
        <w:pStyle w:val="Prrafodelista"/>
        <w:numPr>
          <w:ilvl w:val="0"/>
          <w:numId w:val="5"/>
        </w:numPr>
        <w:spacing w:line="240" w:lineRule="auto"/>
        <w:ind w:right="401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Bases de los procedimientos de Licitación del </w:t>
      </w:r>
      <w:r w:rsidR="00636045">
        <w:rPr>
          <w:rFonts w:ascii="Arial" w:eastAsia="Arial" w:hAnsi="Arial" w:cs="Arial"/>
          <w:b/>
          <w:sz w:val="24"/>
          <w:szCs w:val="24"/>
        </w:rPr>
        <w:t>Poder Legislativo del Estado</w:t>
      </w:r>
      <w:r w:rsidR="00566D8F">
        <w:rPr>
          <w:rFonts w:ascii="Arial" w:eastAsia="Arial" w:hAnsi="Arial" w:cs="Arial"/>
          <w:b/>
          <w:sz w:val="24"/>
          <w:szCs w:val="24"/>
        </w:rPr>
        <w:t>.</w:t>
      </w:r>
    </w:p>
    <w:p w:rsidR="00566D8F" w:rsidRDefault="00566D8F" w:rsidP="00566D8F">
      <w:pPr>
        <w:pStyle w:val="Prrafodelista"/>
        <w:spacing w:line="240" w:lineRule="auto"/>
        <w:ind w:left="10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50.00 UMA</w:t>
      </w:r>
    </w:p>
    <w:p w:rsidR="00566D8F" w:rsidRPr="00566D8F" w:rsidRDefault="00566D8F" w:rsidP="00566D8F">
      <w:pPr>
        <w:spacing w:line="240" w:lineRule="auto"/>
        <w:ind w:right="1324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566D8F" w:rsidRDefault="00566D8F" w:rsidP="00566D8F">
      <w:pPr>
        <w:pStyle w:val="Prrafodelista"/>
        <w:spacing w:line="240" w:lineRule="auto"/>
        <w:ind w:left="1080" w:right="4018"/>
        <w:jc w:val="both"/>
        <w:rPr>
          <w:rFonts w:ascii="Arial" w:eastAsia="Arial" w:hAnsi="Arial" w:cs="Arial"/>
          <w:b/>
          <w:sz w:val="24"/>
          <w:szCs w:val="24"/>
        </w:rPr>
      </w:pPr>
    </w:p>
    <w:p w:rsidR="00566D8F" w:rsidRDefault="00566D8F" w:rsidP="00566D8F">
      <w:pPr>
        <w:pStyle w:val="Prrafodelista"/>
        <w:spacing w:line="240" w:lineRule="auto"/>
        <w:ind w:left="1080" w:right="4018"/>
        <w:jc w:val="both"/>
        <w:rPr>
          <w:rFonts w:ascii="Arial" w:eastAsia="Arial" w:hAnsi="Arial" w:cs="Arial"/>
          <w:b/>
          <w:sz w:val="24"/>
          <w:szCs w:val="24"/>
        </w:rPr>
      </w:pPr>
    </w:p>
    <w:p w:rsidR="001D7617" w:rsidRDefault="00C85629" w:rsidP="00566D8F">
      <w:pPr>
        <w:pStyle w:val="Prrafodelista"/>
        <w:numPr>
          <w:ilvl w:val="0"/>
          <w:numId w:val="5"/>
        </w:numPr>
        <w:spacing w:line="240" w:lineRule="auto"/>
        <w:ind w:right="401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módulo de trabajo</w:t>
      </w:r>
      <w:r w:rsidR="001D7617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1D7617">
        <w:rPr>
          <w:rFonts w:ascii="Arial" w:eastAsia="Arial" w:hAnsi="Arial" w:cs="Arial"/>
          <w:b/>
          <w:sz w:val="24"/>
          <w:szCs w:val="24"/>
        </w:rPr>
        <w:t xml:space="preserve">nvestigación </w:t>
      </w:r>
      <w:bookmarkStart w:id="0" w:name="_GoBack"/>
      <w:bookmarkEnd w:id="0"/>
      <w:r w:rsidR="001D7617">
        <w:rPr>
          <w:rFonts w:ascii="Arial" w:eastAsia="Arial" w:hAnsi="Arial" w:cs="Arial"/>
          <w:b/>
          <w:sz w:val="24"/>
          <w:szCs w:val="24"/>
        </w:rPr>
        <w:t>del Instituto de Investigaciones Legislativas del Poder Legislativo del Estado</w:t>
      </w:r>
    </w:p>
    <w:p w:rsidR="00566D8F" w:rsidRDefault="00566D8F" w:rsidP="00566D8F">
      <w:pPr>
        <w:spacing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20.00 UMA </w:t>
      </w:r>
    </w:p>
    <w:p w:rsidR="00566D8F" w:rsidRDefault="00566D8F" w:rsidP="00C7062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66D8F" w:rsidRDefault="00566D8F" w:rsidP="00C7062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70623" w:rsidRDefault="00C70623" w:rsidP="00C7062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 recaudaciones de estos derechos se destinarán íntegramente al Poder Legislativo del Estado.</w:t>
      </w:r>
    </w:p>
    <w:p w:rsidR="00C70623" w:rsidRDefault="00C70623" w:rsidP="00C7062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70623" w:rsidRDefault="00C70623" w:rsidP="00C7062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70623" w:rsidRDefault="00C70623" w:rsidP="001E3B05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86.- Los productos que percibirá el Gobierno del Estado, a través de la Secretaría de Administración y Finanzas o la Agencia de Administración Fiscal de Yucatán, y los Poderes Judicial y Legislativo a través de sus respectivas Unidades Administrativas, serán por los conceptos siguientes:</w:t>
      </w:r>
    </w:p>
    <w:p w:rsidR="00C70623" w:rsidRDefault="00C70623" w:rsidP="001E3B05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E3B05" w:rsidRPr="00ED141D" w:rsidRDefault="001E3B05" w:rsidP="001E3B05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 w:eastAsia="en-US"/>
        </w:rPr>
      </w:pPr>
      <w:r w:rsidRPr="00ED141D">
        <w:rPr>
          <w:rFonts w:ascii="Arial" w:eastAsia="Arial" w:hAnsi="Arial" w:cs="Arial"/>
          <w:b/>
          <w:sz w:val="24"/>
          <w:szCs w:val="24"/>
          <w:lang w:val="en-US"/>
        </w:rPr>
        <w:t xml:space="preserve">I. a la IV.-… </w:t>
      </w:r>
    </w:p>
    <w:p w:rsidR="00E643D9" w:rsidRPr="00ED141D" w:rsidRDefault="00E643D9" w:rsidP="00C70623">
      <w:pPr>
        <w:spacing w:line="240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C70623" w:rsidRDefault="00C70623" w:rsidP="00C70623">
      <w:pPr>
        <w:spacing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8A6E0B" w:rsidRDefault="008A6E0B" w:rsidP="00C70623">
      <w:pPr>
        <w:spacing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8A6E0B" w:rsidRPr="00ED141D" w:rsidRDefault="008A6E0B" w:rsidP="00C70623">
      <w:pPr>
        <w:spacing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D368AA" w:rsidRDefault="00D368AA" w:rsidP="00C7062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566D8F">
        <w:rPr>
          <w:rFonts w:ascii="Arial" w:eastAsia="Arial" w:hAnsi="Arial" w:cs="Arial"/>
          <w:b/>
          <w:sz w:val="24"/>
          <w:szCs w:val="24"/>
          <w:lang w:val="en-US"/>
        </w:rPr>
        <w:t xml:space="preserve">T R </w:t>
      </w:r>
      <w:proofErr w:type="gramStart"/>
      <w:r w:rsidRPr="00566D8F">
        <w:rPr>
          <w:rFonts w:ascii="Arial" w:eastAsia="Arial" w:hAnsi="Arial" w:cs="Arial"/>
          <w:b/>
          <w:sz w:val="24"/>
          <w:szCs w:val="24"/>
          <w:lang w:val="en-US"/>
        </w:rPr>
        <w:t>A</w:t>
      </w:r>
      <w:proofErr w:type="gramEnd"/>
      <w:r w:rsidRPr="00566D8F">
        <w:rPr>
          <w:rFonts w:ascii="Arial" w:eastAsia="Arial" w:hAnsi="Arial" w:cs="Arial"/>
          <w:b/>
          <w:sz w:val="24"/>
          <w:szCs w:val="24"/>
          <w:lang w:val="en-US"/>
        </w:rPr>
        <w:t xml:space="preserve"> N S I T O R I O S:</w:t>
      </w:r>
    </w:p>
    <w:p w:rsidR="008A6E0B" w:rsidRPr="00566D8F" w:rsidRDefault="008A6E0B" w:rsidP="00C7062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D368AA" w:rsidRPr="002E470A" w:rsidRDefault="00D368AA" w:rsidP="00D368A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2E470A">
        <w:rPr>
          <w:rFonts w:ascii="Arial" w:eastAsia="Arial" w:hAnsi="Arial" w:cs="Arial"/>
          <w:b/>
          <w:sz w:val="24"/>
          <w:szCs w:val="24"/>
        </w:rPr>
        <w:t xml:space="preserve">Artículo </w:t>
      </w:r>
      <w:r w:rsidR="008A6E0B">
        <w:rPr>
          <w:rFonts w:ascii="Arial" w:eastAsia="Arial" w:hAnsi="Arial" w:cs="Arial"/>
          <w:b/>
          <w:sz w:val="24"/>
          <w:szCs w:val="24"/>
        </w:rPr>
        <w:t>único</w:t>
      </w:r>
      <w:r w:rsidRPr="002E470A">
        <w:rPr>
          <w:rFonts w:ascii="Arial" w:eastAsia="Arial" w:hAnsi="Arial" w:cs="Arial"/>
          <w:b/>
          <w:sz w:val="24"/>
          <w:szCs w:val="24"/>
        </w:rPr>
        <w:t>.-</w:t>
      </w:r>
      <w:r w:rsidRPr="002E470A">
        <w:rPr>
          <w:rFonts w:ascii="Arial" w:eastAsia="Arial" w:hAnsi="Arial" w:cs="Arial"/>
          <w:sz w:val="24"/>
          <w:szCs w:val="24"/>
        </w:rPr>
        <w:t xml:space="preserve"> Este Decreto entrará en vigor el día siguiente al de su publicación en el Diario Oficial del Gobierno del Estado de Yucatán. </w:t>
      </w:r>
    </w:p>
    <w:p w:rsidR="00D368AA" w:rsidRPr="002E470A" w:rsidRDefault="00D368AA" w:rsidP="00D368A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141F1" w:rsidRDefault="00B141F1">
      <w:pPr>
        <w:jc w:val="both"/>
        <w:rPr>
          <w:rFonts w:ascii="Arial" w:eastAsia="Arial" w:hAnsi="Arial" w:cs="Arial"/>
          <w:sz w:val="24"/>
          <w:szCs w:val="24"/>
        </w:rPr>
      </w:pPr>
    </w:p>
    <w:p w:rsidR="008A6E0B" w:rsidRDefault="008A6E0B">
      <w:pPr>
        <w:jc w:val="both"/>
        <w:rPr>
          <w:rFonts w:ascii="Arial" w:eastAsia="Arial" w:hAnsi="Arial" w:cs="Arial"/>
          <w:sz w:val="24"/>
          <w:szCs w:val="24"/>
        </w:rPr>
      </w:pPr>
    </w:p>
    <w:p w:rsidR="008A6E0B" w:rsidRDefault="008A6E0B">
      <w:pPr>
        <w:jc w:val="both"/>
        <w:rPr>
          <w:rFonts w:ascii="Arial" w:eastAsia="Arial" w:hAnsi="Arial" w:cs="Arial"/>
          <w:sz w:val="24"/>
          <w:szCs w:val="24"/>
        </w:rPr>
      </w:pPr>
    </w:p>
    <w:p w:rsidR="001715C2" w:rsidRDefault="0014531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470A">
        <w:rPr>
          <w:rFonts w:ascii="Arial" w:eastAsia="Arial" w:hAnsi="Arial" w:cs="Arial"/>
          <w:b/>
          <w:sz w:val="24"/>
          <w:szCs w:val="24"/>
        </w:rPr>
        <w:t xml:space="preserve">MÉRIDA, YUCATÁN, A LOS </w:t>
      </w:r>
      <w:r w:rsidR="00314383">
        <w:rPr>
          <w:rFonts w:ascii="Arial" w:eastAsia="Arial" w:hAnsi="Arial" w:cs="Arial"/>
          <w:b/>
          <w:sz w:val="24"/>
          <w:szCs w:val="24"/>
        </w:rPr>
        <w:t>1</w:t>
      </w:r>
      <w:r w:rsidR="00957511">
        <w:rPr>
          <w:rFonts w:ascii="Arial" w:eastAsia="Arial" w:hAnsi="Arial" w:cs="Arial"/>
          <w:b/>
          <w:sz w:val="24"/>
          <w:szCs w:val="24"/>
        </w:rPr>
        <w:t>3</w:t>
      </w:r>
      <w:r w:rsidR="00314383">
        <w:rPr>
          <w:rFonts w:ascii="Arial" w:eastAsia="Arial" w:hAnsi="Arial" w:cs="Arial"/>
          <w:b/>
          <w:sz w:val="24"/>
          <w:szCs w:val="24"/>
        </w:rPr>
        <w:t xml:space="preserve"> </w:t>
      </w:r>
      <w:r w:rsidRPr="002E470A">
        <w:rPr>
          <w:rFonts w:ascii="Arial" w:eastAsia="Arial" w:hAnsi="Arial" w:cs="Arial"/>
          <w:b/>
          <w:sz w:val="24"/>
          <w:szCs w:val="24"/>
        </w:rPr>
        <w:t>DÍAS DEL MES DE</w:t>
      </w:r>
      <w:r w:rsidR="00957511">
        <w:rPr>
          <w:rFonts w:ascii="Arial" w:eastAsia="Arial" w:hAnsi="Arial" w:cs="Arial"/>
          <w:b/>
          <w:sz w:val="24"/>
          <w:szCs w:val="24"/>
        </w:rPr>
        <w:t xml:space="preserve"> NOVIEMBRE </w:t>
      </w:r>
      <w:r w:rsidRPr="002E470A">
        <w:rPr>
          <w:rFonts w:ascii="Arial" w:eastAsia="Arial" w:hAnsi="Arial" w:cs="Arial"/>
          <w:b/>
          <w:sz w:val="24"/>
          <w:szCs w:val="24"/>
        </w:rPr>
        <w:t>DEL AÑO DOS MIL VEINTE.</w:t>
      </w:r>
    </w:p>
    <w:p w:rsidR="00314383" w:rsidRDefault="0031438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8A6E0B" w:rsidRDefault="008A6E0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50D8C" w:rsidRPr="00B2119A" w:rsidRDefault="00D50D8C" w:rsidP="00F75594">
      <w:pPr>
        <w:ind w:left="-142"/>
        <w:jc w:val="center"/>
        <w:rPr>
          <w:rFonts w:ascii="Arial" w:eastAsia="Arial" w:hAnsi="Arial" w:cs="Arial"/>
          <w:b/>
          <w:sz w:val="24"/>
          <w:szCs w:val="24"/>
        </w:rPr>
      </w:pPr>
      <w:r w:rsidRPr="00B2119A">
        <w:rPr>
          <w:rFonts w:ascii="Arial" w:eastAsia="Arial" w:hAnsi="Arial" w:cs="Arial"/>
          <w:b/>
          <w:sz w:val="24"/>
          <w:szCs w:val="24"/>
        </w:rPr>
        <w:t>DIP. FELIPE CERVERA HERNÁNDEZ</w:t>
      </w:r>
      <w:r w:rsidR="00314383">
        <w:rPr>
          <w:rFonts w:ascii="Arial" w:eastAsia="Arial" w:hAnsi="Arial" w:cs="Arial"/>
          <w:b/>
          <w:sz w:val="24"/>
          <w:szCs w:val="24"/>
        </w:rPr>
        <w:t>.</w:t>
      </w:r>
    </w:p>
    <w:sectPr w:rsidR="00D50D8C" w:rsidRPr="00B2119A" w:rsidSect="008A6E0B">
      <w:headerReference w:type="default" r:id="rId8"/>
      <w:footerReference w:type="default" r:id="rId9"/>
      <w:pgSz w:w="12240" w:h="15840"/>
      <w:pgMar w:top="3703" w:right="1418" w:bottom="1418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1F" w:rsidRDefault="0094361F">
      <w:pPr>
        <w:spacing w:line="240" w:lineRule="auto"/>
      </w:pPr>
      <w:r>
        <w:separator/>
      </w:r>
    </w:p>
  </w:endnote>
  <w:endnote w:type="continuationSeparator" w:id="0">
    <w:p w:rsidR="0094361F" w:rsidRDefault="00943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 Scrip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83" w:rsidRDefault="003143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14383" w:rsidRDefault="00314383" w:rsidP="00314383">
    <w:pPr>
      <w:rPr>
        <w:rFonts w:ascii="Arial" w:eastAsia="Arial" w:hAnsi="Arial" w:cs="Arial"/>
        <w:sz w:val="24"/>
        <w:szCs w:val="24"/>
      </w:rPr>
    </w:pPr>
  </w:p>
  <w:p w:rsidR="00314383" w:rsidRPr="00D50D8C" w:rsidRDefault="00314383" w:rsidP="00314383">
    <w:pPr>
      <w:spacing w:line="240" w:lineRule="auto"/>
      <w:jc w:val="both"/>
      <w:rPr>
        <w:rFonts w:ascii="Arial" w:eastAsia="Arial" w:hAnsi="Arial" w:cs="Arial"/>
        <w:i/>
        <w:sz w:val="20"/>
        <w:szCs w:val="24"/>
      </w:rPr>
    </w:pPr>
    <w:r w:rsidRPr="00D50D8C">
      <w:rPr>
        <w:rFonts w:ascii="Arial" w:eastAsia="Arial" w:hAnsi="Arial" w:cs="Arial"/>
        <w:i/>
        <w:sz w:val="20"/>
        <w:szCs w:val="24"/>
      </w:rPr>
      <w:t>“Esta hoja de firmas pertenece a la</w:t>
    </w:r>
    <w:r>
      <w:rPr>
        <w:rFonts w:ascii="Arial" w:eastAsia="Arial" w:hAnsi="Arial" w:cs="Arial"/>
        <w:i/>
        <w:sz w:val="20"/>
        <w:szCs w:val="24"/>
      </w:rPr>
      <w:t xml:space="preserve"> iniciativa de reforma a la</w:t>
    </w:r>
    <w:r w:rsidRPr="00B2119A">
      <w:rPr>
        <w:rFonts w:ascii="Arial" w:eastAsia="Arial" w:hAnsi="Arial" w:cs="Arial"/>
        <w:i/>
        <w:sz w:val="20"/>
        <w:szCs w:val="24"/>
      </w:rPr>
      <w:t xml:space="preserve"> Ley General de Hacienda del Estado de Yucatán</w:t>
    </w:r>
    <w:r>
      <w:rPr>
        <w:rFonts w:ascii="Arial" w:eastAsia="Arial" w:hAnsi="Arial" w:cs="Arial"/>
        <w:i/>
        <w:sz w:val="20"/>
        <w:szCs w:val="24"/>
      </w:rPr>
      <w:t xml:space="preserve"> en materia de derechos por servicios que presta el Poder Legislativo del Estado de Yucatán</w:t>
    </w:r>
    <w:r w:rsidRPr="00D50D8C">
      <w:rPr>
        <w:rFonts w:ascii="Arial" w:eastAsia="Arial" w:hAnsi="Arial" w:cs="Arial"/>
        <w:i/>
        <w:sz w:val="20"/>
        <w:szCs w:val="24"/>
      </w:rPr>
      <w:t>.”</w:t>
    </w:r>
  </w:p>
  <w:p w:rsidR="00314383" w:rsidRDefault="003143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14383" w:rsidRDefault="003143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715C2" w:rsidRDefault="001453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B035E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1F" w:rsidRDefault="0094361F">
      <w:pPr>
        <w:spacing w:line="240" w:lineRule="auto"/>
      </w:pPr>
      <w:r>
        <w:separator/>
      </w:r>
    </w:p>
  </w:footnote>
  <w:footnote w:type="continuationSeparator" w:id="0">
    <w:p w:rsidR="0094361F" w:rsidRDefault="00943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0B" w:rsidRDefault="008A6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851"/>
      <w:jc w:val="center"/>
      <w:rPr>
        <w:rFonts w:ascii="Bad Script" w:eastAsia="Bad Script" w:hAnsi="Bad Script" w:cs="Bad Script"/>
        <w:i/>
        <w:color w:val="000000"/>
        <w:sz w:val="28"/>
        <w:szCs w:val="28"/>
      </w:rPr>
    </w:pPr>
  </w:p>
  <w:p w:rsidR="008A6E0B" w:rsidRDefault="008A6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851"/>
      <w:jc w:val="center"/>
      <w:rPr>
        <w:rFonts w:ascii="Bad Script" w:eastAsia="Bad Script" w:hAnsi="Bad Script" w:cs="Bad Script"/>
        <w:i/>
        <w:color w:val="000000"/>
        <w:sz w:val="28"/>
        <w:szCs w:val="28"/>
      </w:rPr>
    </w:pPr>
  </w:p>
  <w:p w:rsidR="008A6E0B" w:rsidRDefault="008A6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851"/>
      <w:jc w:val="center"/>
      <w:rPr>
        <w:rFonts w:ascii="Bad Script" w:eastAsia="Bad Script" w:hAnsi="Bad Script" w:cs="Bad Script"/>
        <w:i/>
        <w:color w:val="000000"/>
        <w:sz w:val="28"/>
        <w:szCs w:val="28"/>
      </w:rPr>
    </w:pPr>
  </w:p>
  <w:p w:rsidR="00EE24AC" w:rsidRDefault="008A6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851"/>
      <w:jc w:val="center"/>
      <w:rPr>
        <w:rFonts w:ascii="Bad Script" w:eastAsia="Bad Script" w:hAnsi="Bad Script" w:cs="Bad Script"/>
        <w:i/>
        <w:color w:val="000000"/>
        <w:sz w:val="28"/>
        <w:szCs w:val="28"/>
      </w:rPr>
    </w:pPr>
    <w:r>
      <w:rPr>
        <w:noProof/>
      </w:rPr>
      <w:drawing>
        <wp:inline distT="0" distB="0" distL="0" distR="0" wp14:anchorId="3DE55306" wp14:editId="21AED1D1">
          <wp:extent cx="4191000" cy="1228725"/>
          <wp:effectExtent l="0" t="0" r="0" b="0"/>
          <wp:docPr id="22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14531D">
      <w:rPr>
        <w:rFonts w:ascii="Bad Script" w:eastAsia="Bad Script" w:hAnsi="Bad Script" w:cs="Bad Script"/>
        <w:i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412"/>
    <w:multiLevelType w:val="multilevel"/>
    <w:tmpl w:val="8F9CFA42"/>
    <w:lvl w:ilvl="0">
      <w:start w:val="1"/>
      <w:numFmt w:val="upperRoman"/>
      <w:lvlText w:val="%1."/>
      <w:lvlJc w:val="right"/>
      <w:pPr>
        <w:ind w:left="-273" w:hanging="360"/>
      </w:p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09651EC0"/>
    <w:multiLevelType w:val="hybridMultilevel"/>
    <w:tmpl w:val="3C1AFF96"/>
    <w:lvl w:ilvl="0" w:tplc="D6DA11DA">
      <w:start w:val="1"/>
      <w:numFmt w:val="upperRoman"/>
      <w:lvlText w:val="%1."/>
      <w:lvlJc w:val="left"/>
      <w:pPr>
        <w:ind w:left="77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0611EBC"/>
    <w:multiLevelType w:val="hybridMultilevel"/>
    <w:tmpl w:val="46C2021E"/>
    <w:lvl w:ilvl="0" w:tplc="AFA86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16A2"/>
    <w:multiLevelType w:val="multilevel"/>
    <w:tmpl w:val="D77AF712"/>
    <w:lvl w:ilvl="0">
      <w:start w:val="1"/>
      <w:numFmt w:val="upperRoman"/>
      <w:lvlText w:val="%1."/>
      <w:lvlJc w:val="right"/>
      <w:pPr>
        <w:ind w:left="-131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BF76DDA"/>
    <w:multiLevelType w:val="hybridMultilevel"/>
    <w:tmpl w:val="FA98666C"/>
    <w:lvl w:ilvl="0" w:tplc="69B4BED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2"/>
    <w:rsid w:val="00084E63"/>
    <w:rsid w:val="000B49F3"/>
    <w:rsid w:val="000B63DD"/>
    <w:rsid w:val="000D188D"/>
    <w:rsid w:val="000D460A"/>
    <w:rsid w:val="000F5817"/>
    <w:rsid w:val="00104265"/>
    <w:rsid w:val="0014531D"/>
    <w:rsid w:val="001715C2"/>
    <w:rsid w:val="001A0B54"/>
    <w:rsid w:val="001A323F"/>
    <w:rsid w:val="001D7617"/>
    <w:rsid w:val="001E3B05"/>
    <w:rsid w:val="0024489E"/>
    <w:rsid w:val="00272484"/>
    <w:rsid w:val="00285867"/>
    <w:rsid w:val="002C2A69"/>
    <w:rsid w:val="002E470A"/>
    <w:rsid w:val="0031010F"/>
    <w:rsid w:val="00314383"/>
    <w:rsid w:val="003245AD"/>
    <w:rsid w:val="00362E79"/>
    <w:rsid w:val="003939DA"/>
    <w:rsid w:val="003C1FEF"/>
    <w:rsid w:val="003C51BE"/>
    <w:rsid w:val="003C7476"/>
    <w:rsid w:val="004B5086"/>
    <w:rsid w:val="00565EBF"/>
    <w:rsid w:val="00566D8F"/>
    <w:rsid w:val="005B035E"/>
    <w:rsid w:val="0061774B"/>
    <w:rsid w:val="00625FCA"/>
    <w:rsid w:val="00636045"/>
    <w:rsid w:val="0065446A"/>
    <w:rsid w:val="006D3954"/>
    <w:rsid w:val="007058C3"/>
    <w:rsid w:val="007A356F"/>
    <w:rsid w:val="007C538E"/>
    <w:rsid w:val="007D03F0"/>
    <w:rsid w:val="0082254C"/>
    <w:rsid w:val="008838BC"/>
    <w:rsid w:val="00893701"/>
    <w:rsid w:val="008A4650"/>
    <w:rsid w:val="008A6E0B"/>
    <w:rsid w:val="008D763F"/>
    <w:rsid w:val="00904D09"/>
    <w:rsid w:val="0094361F"/>
    <w:rsid w:val="00957511"/>
    <w:rsid w:val="00965964"/>
    <w:rsid w:val="009673BA"/>
    <w:rsid w:val="00993D13"/>
    <w:rsid w:val="009C7528"/>
    <w:rsid w:val="009F0156"/>
    <w:rsid w:val="00A6131D"/>
    <w:rsid w:val="00A6689D"/>
    <w:rsid w:val="00A751D0"/>
    <w:rsid w:val="00AD4E3A"/>
    <w:rsid w:val="00AE4BA6"/>
    <w:rsid w:val="00B055D1"/>
    <w:rsid w:val="00B141F1"/>
    <w:rsid w:val="00B2119A"/>
    <w:rsid w:val="00B2225B"/>
    <w:rsid w:val="00B435DC"/>
    <w:rsid w:val="00B5123F"/>
    <w:rsid w:val="00B91604"/>
    <w:rsid w:val="00BB6115"/>
    <w:rsid w:val="00BD02E2"/>
    <w:rsid w:val="00C70623"/>
    <w:rsid w:val="00C85629"/>
    <w:rsid w:val="00C94DFD"/>
    <w:rsid w:val="00CA0543"/>
    <w:rsid w:val="00CE0626"/>
    <w:rsid w:val="00D1282F"/>
    <w:rsid w:val="00D368AA"/>
    <w:rsid w:val="00D40AD6"/>
    <w:rsid w:val="00D50663"/>
    <w:rsid w:val="00D50D8C"/>
    <w:rsid w:val="00D90E7B"/>
    <w:rsid w:val="00DB4694"/>
    <w:rsid w:val="00DC38D0"/>
    <w:rsid w:val="00DC6FB2"/>
    <w:rsid w:val="00DF32EB"/>
    <w:rsid w:val="00DF6085"/>
    <w:rsid w:val="00E46E2D"/>
    <w:rsid w:val="00E643D9"/>
    <w:rsid w:val="00E805F2"/>
    <w:rsid w:val="00E811F3"/>
    <w:rsid w:val="00ED141D"/>
    <w:rsid w:val="00EE24AC"/>
    <w:rsid w:val="00F218F9"/>
    <w:rsid w:val="00F369A6"/>
    <w:rsid w:val="00F7559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AA93E-50CC-4176-97E2-97220093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042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4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24A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4AC"/>
  </w:style>
  <w:style w:type="paragraph" w:styleId="Piedepgina">
    <w:name w:val="footer"/>
    <w:basedOn w:val="Normal"/>
    <w:link w:val="PiedepginaCar"/>
    <w:uiPriority w:val="99"/>
    <w:unhideWhenUsed/>
    <w:rsid w:val="00EE24A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A67-D1A7-45F5-A416-A900C122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secretario tecnico</cp:lastModifiedBy>
  <cp:revision>20</cp:revision>
  <cp:lastPrinted>2020-11-25T22:21:00Z</cp:lastPrinted>
  <dcterms:created xsi:type="dcterms:W3CDTF">2020-07-29T17:36:00Z</dcterms:created>
  <dcterms:modified xsi:type="dcterms:W3CDTF">2020-12-02T02:21:00Z</dcterms:modified>
</cp:coreProperties>
</file>